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143</w:t>
      </w:r>
    </w:p>
    <w:p>
      <w:r>
        <w:t>Bundesgericht (BGE), 1982-05-13, DE</w:t>
      </w:r>
    </w:p>
    <w:p>
      <w:r>
        <w:rPr>
          <w:b/>
        </w:rPr>
        <w:t xml:space="preserve">Quelle: </w:t>
      </w:r>
      <w:r>
        <w:t>https://mcp.opencaselaw.ch/entscheid/bge_108 II 143</w:t>
      </w:r>
    </w:p>
    <w:p>
      <w:r>
        <w:t>FR: ATF 108 II 143</w:t>
      </w:r>
    </w:p>
    <w:p>
      <w:r>
        <w:t>IT: DTF 108 II 143</w:t>
      </w:r>
    </w:p>
    <w:p>
      <w:pPr>
        <w:pStyle w:val="Heading2"/>
      </w:pPr>
      <w:r>
        <w:t>Regeste</w:t>
      </w:r>
    </w:p>
    <w:p>
      <w:r>
        <w:t>Regeste Versicherungsvertrag, Anzeigepflicht (Art. 4, 6 VVG). Das Bestehen anderer Lebens- oder Invaliditätsversicherungen oder die Stellung eines Versicherungsantrages bei einer andern Gesellschaft stellt beim Abschluss eines Lebensversicherungsvertrags grundsätzlich eine erhebliche Gefahrstatsache dar. Das Verschweigen solcher Versicherungen oder solcher Anträge berechtigt deshalb in der Regel den Versicherer, vom Versicherungsvertrag zurückzutreten.</w:t>
      </w:r>
    </w:p>
    <w:p>
      <w:pPr>
        <w:pStyle w:val="Heading2"/>
      </w:pPr>
      <w:r>
        <w:t>Erwägungen</w:t>
      </w:r>
    </w:p>
    <w:p>
      <w:r>
        <w:rPr>
          <w:b/>
        </w:rPr>
        <w:t>E. 1</w:t>
      </w:r>
    </w:p>
    <w:p>
      <w:r>
        <w:t>Nach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Als erheblich gelten jene Gefahrstatsachen, die geeignet sind, auf den Entschluss BGE 108 II 143 S. 146 des Versicherers, den Vertrag überhaupt oder zu den vereinbarten Bedingungen abzuschliessen, einen Einfluss auszuüben. Die Gefahrstatsachen, auf welche die schriftlichen Fragen des Versicherers in bestimmter, unzweideutiger Fassung gerichtet sind, werden als erheblich vermutet. Gefahrstatsachen sind alle Tatsachen, die bei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 BGE 99 II 77 unten/78 oben mit Hinweisen).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VVG das Recht zu, binnen vier Wochen seit Kenntnis der Verletzung der Anzeigepflicht vom Vertrag zurückzutreten.</w:t>
      </w:r>
    </w:p>
    <w:p>
      <w:r>
        <w:rPr>
          <w:b/>
        </w:rPr>
        <w:t>E. 2</w:t>
      </w:r>
    </w:p>
    <w:p>
      <w:r>
        <w:t>In der Berufung wird das Vorliegen einer Verletzung der Anzeigepflicht zunächst mit der Begründung verneint, dass der Kläger im Antragsformular der Beklagten nur eine einzige Zeile zur Verfügung gehabt habe, um einen bei einer andern Versicherungsgesellschaft gestellten Versicherungsantrag auf sein Leben unter den Rubriken "Jahr?/Welche Gesellschaft?/Versicherungskapital?/IV-Rente?" einzutragen. Allein schon auf Grund dieser Gestaltung des Antragsformulars stehe fest, dass die Beklagte bloss habe wissen wollen, ob früher bei einer (gemeint einzigen) andern Lebensversicherungsgesellschaft ein Versicherungsantrag gestellt worden sei. Sodann habe sich die Frage auf einen Versicherungsantrag in der Einzahl bezogen, was ebenfalls zeige, dass sich die Beklagte damit habe begnügen wollen, im Falle einer Mehrzahl solcher Anträge nur von einem einzigen derselben Kenntnis zu erhalten. In Anbetracht der klaren, unzweideutigen Fragestellung im Antragsformular sei es auch völlig unerheblich, ob ein Agent der Beklagten den Kläger allenfalls nach dem Vorliegen weiterer Versicherungsverträge gefragt habe. Eine Verletzung der Anzeigepflicht könnte nur dann angenommen werden, wenn der Kläger in der Absicht, die Beklagte zu täuschen, einen nach Abschluss der Versicherung mit der "Patria" gestellten Versicherungsantrag verschwiegen hätte, der abgelehnt worden sei.</w:t>
      </w:r>
    </w:p>
    <w:p>
      <w:r>
        <w:rPr>
          <w:b/>
        </w:rPr>
        <w:t>E. 3</w:t>
      </w:r>
    </w:p>
    <w:p>
      <w:r>
        <w:t>Der Betrachtungsweise des Klägers kann nicht gefolgt BGE 108 II 143 S. 147 werden. Wie im angefochtenen Urteil zutreffend dargelegt wird, konnte das Wörtchen "ein" in der von der Beklagten gestellten Frage ("Wurde ein Versicherungsantrag auf Ihr Leben bereits bei einer andern Lebensversicherungsgesellschaft gestellt?") vernünftigerweise nicht im Sinne eines Zahlwortes, sondern nur als unbestimmter Artikel verstanden werden. Die Annahme, die Beklagte wünsche im Falle der Stellung mehrerer Lebensversicherungsanträge nur von einem einzigen derselben Kenntnis zu erhalten, würde dem Grundsatz von Treu und Glauben im Geschäftsverkehr widersprechen. Mit Recht hat die Vorinstanz auch darauf hingewiesen, dass die ganze Ausgestaltung des Frageschemas im Antragsformular gegen die klägerische Auffassung spricht. Es wäre in der Tat nicht einzusehen, weshalb für die Eintragungen in den verschiedenen Kolonnen insgesamt vier Zeilen zur Verfügung standen, wenn es nicht die Meinung gehabt haben sollte, dem Antragsteller auf diese Weise zu ermöglichen, mehrere von ihm bei andern Gesellschaften gestellte Anträge anzugeben. Von einer zweideutigen Fassung der Frage nach andern Versicherungsanträgen, die zu Zweifeln über den Sinn dieser Frage hätte Anlass geben können, kann deshalb keine Rede sein. Im übrigen zeigt die Schilderung im angefochtenen Urteil darüber, wie die Antragstellung durch den Kläger seinerzeit erfolgte, dass dieser durch die Formulierung der betreffenden Frage im Antragsformular in keiner Weise irregeführt wurde. Die Vorinstanz hat in dieser Hinsicht beweismässig festgestellt, dass der Kläger vom Agenten Gerber der Beklagten tatsächlich nach mehreren bestehenden Versicherungen gefragt worden war. In Übereinstimmung mit der Vorinstanz ist deshalb davon auszugehen, dass der Kläger durch die Verschweigung des mit der Gesellschaft UAP geschlossenen Versicherungsvertrages die ihm gestellte Frage unrichtig beantwortet hat. Mit Recht wird in diesem Zusammenhang die Behauptung nicht wieder aufgenommen, der verschwiegene Versicherungsvertrag habe auch deshalb nicht angegeben werden müssen, weil er ursprünglich von der F. AG und nicht vom Kläger persönlich abgeschlossen worden sei.</w:t>
      </w:r>
    </w:p>
    <w:p>
      <w:r>
        <w:rPr>
          <w:b/>
        </w:rPr>
        <w:t>E. 4</w:t>
      </w:r>
    </w:p>
    <w:p>
      <w:r>
        <w:t>Das angefochtene Urteil erweist sich sodann auch insofern als richtig, als die Frage nach bei andern Lebensversicherungsgesellschaften gestellten Versicherungsanträgen als eine solche nach einer erheblichen Gefahrstatsache betrachtet wurde. Zwar bezieht sich diese Frage nicht unmittelbar auf die zu versichernde Gefahr als solche. Trotzdem kann sie dem Versicherer einen Rückschluss BGE 108 II 143 S. 148 erlauben, ob möglicherweise eine Gefahrstatsache in diesem engeren Sinn vorhanden sei. Dies ist vor allem dann der Fall, wenn der bei einer andern Gesellschaft gestellte Antrag abgelehnt oder nur zu erschwerenden Bedingungen angenommen worden ist ( BGE 55 II 58 f.). Aber auch abgesehen davon kann das Bestehen anderer Versicherungen gleicher Art oder die Stellung eines Versicherungsantrages bei einer andern Gesellschaft als Hilfstatsache für die Abschätzung des zu deckenden Risikos von Bedeutung sein. Es können sich daraus Rückschlüsse auf Absichten oder Eigenschaften der zu versichernden Person ergeben, die für die Risikobewertung nicht gleichgültig sind ( BGE 68 II 331 ; KOENIG, Schweiz. Privatversicherungsrecht, 3. Aufl., S. 171; ROELLI/KELLER, Kommentar zum VVG, Bd. I, S. 101 f.). So kann z.B. der Abschluss verschiedener hoher Lebens- und Invaliditätsversicherungen unter Umständen einen Anhaltspunkt für Suizidgedanken oder für ein erhöhtes Invaliditätsrisiko des zu Versichernden bilden. Das Verschweigen solcher Versicherungen berechtigt deshalb den Versicherer, gemäss Art. 6 VVG vom Versicherungsvertrag zurückzutreten. Ein solches Ergebnis wäre allerdings stossend, wenn der Antragsteller die Angabe eines einzigen von mehreren Versicherungsverträgen vergisst, insbesondere wenn der Abschluss des Vertrags viele Jahre zurückliegt und die Versicherungssumme verhältnismässig klein ist. So verhielt es sich im vorliegenden Fall indessen nicht. Der Kläger vermochte sich nämlich sehr wohl an die bereits im Jahre 1967 bei der "Patria" abgeschlossene Versicherung mit einem Versicherungskapital von bloss Fr. 15'000.-- und einer Invaliditätsrente von Fr. 1'200.-- zu erinnern. Die zehn Jahre später abgeschlossene, viel bedeutendere Versicherung mit der Versicherungsgesellschaft UAP mit einem Kapital von Fr. 100'000.-- und einer Invaliditätsrente von Fr. 30'000.-- verschwieg er jedoch. Diese Versicherung vermochte den Entschluss des Versicherers, den Vertrag überhaupt oder zu den vereinbarten Bedingungen abzuschliessen, viel eher zu beeinflussen als diejenige mit der "Patria". Die Verschweigung dieses Versicherungsvertrags war deshalb zweifellos geeignet, das Rücktrittsrecht der Beklagten auszulösen.</w:t>
      </w:r>
    </w:p>
    <w:p>
      <w:r>
        <w:rPr>
          <w:b/>
        </w:rPr>
        <w:t>E. 5</w:t>
      </w:r>
    </w:p>
    <w:p>
      <w:r>
        <w:t>Dass die Beklagte den Vertragsrücktritt rechtzeitig erklärt hat, ist nicht bestritten. Die Vorinstanz hat die Klage daher zu Recht abgewiesen. BGE 108 II 143 S. 149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